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DtFrJWVorRV</w:t>
      </w:r>
    </w:p>
    <w:p>
      <w:r>
        <w:rPr>
          <w:color w:val="555555"/>
          <w:sz w:val="18"/>
        </w:rPr>
        <w:t xml:space="preserve">Verordnung über die Gewährung von Vorrechten und Immunitäten an das Deutsch-Französische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Diese Verordnung tritt an dem Tage außer Kraft, an dem das Abkommen vom 22. Juni 1973 außer Kraft tritt.</w:t>
      </w:r>
    </w:p>
    <w:p>
      <w:r>
        <w:t xml:space="preserve">(3) Der Tag des Außerkrafttretens ist im Bundesgesetzblatt bekanntzugeben.</w:t>
      </w:r>
    </w:p>
    <w:p>
      <w:r>
        <w:rPr>
          <w:color w:val="555555"/>
          <w:sz w:val="17"/>
        </w:rPr>
        <w:t xml:space="preserve">Zitiervorschlag: § 4 DtFrJWVorRV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https://recht.nulegal.eu/gesetze/DtFrJWVorRV/4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