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DrugCheckVO NRW (Nordrhein-Westfalen)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November 2025</w:t>
      </w:r>
    </w:p>
    <w:p>
      <w:r>
        <w:t xml:space="preserve">Auf Grund des § 5 Absatz 3 Satz 1 des Landesorganisationsgesetzes vom 10. Juli 1962 (GV. NRW. S. 421), das zuletzt durch Artikel 3 des Gesetzes vom 10. Juli 2025 (GV. NRW. S. 633) geändert worden ist, insoweit nach Anhörung des fachlich zuständigen Ausschusses des Landtags und auf Grund des § 10b Absatz 2 des Betäubungsmittelgesetzes in der Fassung der Bekanntmachung vom 1. März 1994 (BGBl. I S. 358), das zuletzt durch Artikel 1 der Verordnung vom 29. November 2024 (BGBl. 2024 I Nr. 379) geändert worden ist, verordnet die Landesregierung:</w:t>
      </w:r>
    </w:p>
    <w:p>
      <w:r>
        <w:rPr>
          <w:color w:val="555555"/>
          <w:sz w:val="17"/>
        </w:rPr>
        <w:t xml:space="preserve">Zitiervorschlag: Eingangsformel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