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DrugCheckVO NRW (Nordrhein-Westfalen) — Zweckdienliche sachliche Ausstattung</w:t>
      </w:r>
    </w:p>
    <w:p>
      <w:r>
        <w:rPr>
          <w:color w:val="555555"/>
          <w:sz w:val="18"/>
        </w:rPr>
        <w:t xml:space="preserve">Drug-Checking-Verordnung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Durchführung von Drug-Checking-Modellvorhaben muss eine zweckdienliche sachliche Ausstattung vorhanden sein. Dazu gehört insbesondere:</w:t>
      </w:r>
    </w:p>
    <w:p>
      <w:r>
        <w:t xml:space="preserve">1. das Vorhandensein geeigneter Testmaterialien zur qualitativen oder quantitativen Analyse von Betäubungsmitteln,</w:t>
      </w:r>
    </w:p>
    <w:p>
      <w:r>
        <w:t xml:space="preserve">2. die ausschließliche und bestimmungsgemäße Verwendung von validierten Testmaterialien und Analysemethoden und</w:t>
      </w:r>
    </w:p>
    <w:p>
      <w:r>
        <w:t xml:space="preserve">3. ein für die Durchführung der Testungen geeigneter Arbeitsplatz, einschließlich ausreichender Arbeitsflächen, Lagermöglichkeiten und gesicherter Entsorgungseinrichtungen.</w:t>
      </w:r>
    </w:p>
    <w:p>
      <w:r>
        <w:t xml:space="preserve">(2) Die sachkundige Person nach § 10b Absatz 2 Satz 2 Nummer 8 des Betäubungsmittelgesetzes in Verbindung mit § 3 Absatz 1 dieser Verordnung stellt sicher, dass die Ausstattung und die Testmaterialien sach- und fachgerecht gelagert, angewendet und geprüft werden, um die Qualität und Zuverlässigkeit der Substanzanalysen sicherzustellen.</w:t>
      </w:r>
    </w:p>
    <w:p>
      <w:r>
        <w:t xml:space="preserve">(3) § 3 der Verordnung über den Betrieb von Drogenkonsumräumen bleibt unberührt.</w:t>
      </w:r>
    </w:p>
    <w:p>
      <w:r>
        <w:rPr>
          <w:color w:val="555555"/>
          <w:sz w:val="17"/>
        </w:rPr>
        <w:t xml:space="preserve">Zitiervorschlag: § 7 DrugCheckVO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https://recht.nulegal.eu/gesetze/DrugCheckVO%20NRW/7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