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DrugCheckVO NRW (Nordrhein-Westfalen) — Voraussetzungen für die Erteilung der Erlaubnis</w:t>
      </w:r>
    </w:p>
    <w:p>
      <w:r>
        <w:rPr>
          <w:color w:val="555555"/>
          <w:sz w:val="18"/>
        </w:rPr>
        <w:t xml:space="preserve">Drug-Checking-Verordnung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Erlaubnis zur Durchführung von Drug-Checking-Modellvorhaben gemäß § 10b Absatz 1 des Betäubungsmittelgesetzes ist zu erteilen, wenn die in den §§ 7 bis 14 geregelten Voraussetzungen und Anforderungen an die Durchführung von Drug-Checking-Modellvorhaben erfüllt werden.</w:t>
      </w:r>
    </w:p>
    <w:p>
      <w:r>
        <w:rPr>
          <w:color w:val="555555"/>
          <w:sz w:val="17"/>
        </w:rPr>
        <w:t xml:space="preserve">Zitiervorschlag: § 6 DrugCheckVO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https://recht.nulegal.eu/gesetze/DrugCheckVO%20NRW/6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