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DrugCheckVO NRW (Nordrhein-Westfalen) — Nutzerkreis, untersuchungsfähige Substanzen</w:t>
      </w:r>
    </w:p>
    <w:p>
      <w:r>
        <w:rPr>
          <w:color w:val="555555"/>
          <w:sz w:val="18"/>
        </w:rPr>
        <w:t xml:space="preserve">Drug-Checking-Verordnung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Nutzerkreis der Drug-Checking-Modellvorhaben sind ausschließlich die Nutzerinnen und Nutzer von Drogenkonsumräumen nach § 8 Absatz 1 und 2 der Verordnung über den Betrieb von Drogenkonsumräumen vom 26. September 2000 (GV. NRW. S. 646) in der jeweils geltenden Fassung.</w:t>
      </w:r>
    </w:p>
    <w:p>
      <w:r>
        <w:t xml:space="preserve">(2) Untersuchungsfähige Substanzen sind ausschließlich die zum Eigenkonsum mitgeführten Betäubungsmittel nach § 8 Absatz 3 Satz 2 der Verordnung über den Betrieb von Drogenkonsumräumen.</w:t>
      </w:r>
    </w:p>
    <w:p>
      <w:r>
        <w:rPr>
          <w:color w:val="555555"/>
          <w:sz w:val="17"/>
        </w:rPr>
        <w:t xml:space="preserve">Zitiervorschlag: § 2 DrugCheckVO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https://recht.nulegal.eu/gesetze/DrugCheckVO%20NRW/2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