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DrugCheckVO NRW (Nordrhein-Westfalen) — Verantwortlichkeit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sachkundigen Personen nach § 10b Absatz 2 Satz 2 Nummer 8 des Betäubungsmittelgesetzes in Verbindung mit § 3 Absatz 1 dieser Verordnung sind verantwortlich für die Einhaltung der in dieser Verordnung festgelegten Pflichten und Anforderungen, für die Einhaltung der Auflagen der Erlaubnisbehörde sowie der Anordnungen der Überwachungsbehörden.</w:t>
      </w:r>
    </w:p>
    <w:p>
      <w:r>
        <w:t xml:space="preserve">(2) Die Betreiber von Drogenkonsumräumen haben sicherzustellen, dass die sachkundigen Personen und das persönlich zuverlässige Personal nach § 10b Absatz 2 Satz 2 Nummer 7 des Betäubungsmittelgesetzes in Verbindung mit § 3 Absatz 2 dieser Verordnung selbst am Betäubungsmittelverkehr nicht teilnehmen.</w:t>
      </w:r>
    </w:p>
    <w:p>
      <w:r>
        <w:rPr>
          <w:color w:val="555555"/>
          <w:sz w:val="17"/>
        </w:rPr>
        <w:t xml:space="preserve">Zitiervorschlag: § 14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