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DrugCheckVO NRW (Nordrhein-Westfalen) — Dokumentation und Evaluation</w:t>
      </w:r>
    </w:p>
    <w:p>
      <w:r>
        <w:rPr>
          <w:color w:val="555555"/>
          <w:sz w:val="18"/>
        </w:rPr>
        <w:t xml:space="preserve">Drug-Checking-Verordnung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Inhaber einer Erlaubnis haben jeden Vorgang der Substanzanalyse elektronisch zu dokumentieren.</w:t>
      </w:r>
    </w:p>
    <w:p>
      <w:r>
        <w:t xml:space="preserve">(2) Folgende Informationen sind in anonymisierter Form zu dokumentieren:</w:t>
      </w:r>
    </w:p>
    <w:p>
      <w:r>
        <w:t xml:space="preserve">1. Alter nach Altersgruppen und Geschlecht der die Betäubungsmittel besitzenden Person,</w:t>
      </w:r>
    </w:p>
    <w:p>
      <w:r>
        <w:t xml:space="preserve">2. Art und Herkunft der eingereichten Substanz, sofern bekannt, einschließlich ihrer deklarierten Wirksubstanz sowie ihrer Bezeichnung,</w:t>
      </w:r>
    </w:p>
    <w:p>
      <w:r>
        <w:t xml:space="preserve">3. Darreichungsform der eingereichten Substanz,</w:t>
      </w:r>
    </w:p>
    <w:p>
      <w:r>
        <w:t xml:space="preserve">4. Angaben zur angewendeten Analysemethode,</w:t>
      </w:r>
    </w:p>
    <w:p>
      <w:r>
        <w:t xml:space="preserve">5. Ergebnisse der Substanzanalyse,</w:t>
      </w:r>
    </w:p>
    <w:p>
      <w:r>
        <w:t xml:space="preserve">6. Datum der Untersuchung und</w:t>
      </w:r>
    </w:p>
    <w:p>
      <w:r>
        <w:t xml:space="preserve">7. Beratungsinhalte einschließlich der Risikoaufklärung, gesundheitlichen Empfehlung und gegebenenfalls vorgenommenen Weitervermittlung.</w:t>
      </w:r>
    </w:p>
    <w:p>
      <w:r>
        <w:t xml:space="preserve">(3) Die Dokumentation ist der Überwachungsbehörde regelhaft zum Ende eines Quartals sowie dem für Gesundheit zuständigen Ministerium auf Verlangen unverzüglich in anonymisierte Form zu übermitteln.</w:t>
      </w:r>
    </w:p>
    <w:p>
      <w:r>
        <w:t xml:space="preserve">(4) Die Dokumentation nach Absatz 2 dient als Grundlage für die wissenschaftliche Evaluation des Modellvorhabens.</w:t>
      </w:r>
    </w:p>
    <w:p>
      <w:r>
        <w:t xml:space="preserve">(5) Die Betreiber der Drogenkonsumräume haben als durchführende Stelle der Drug-Checking-Modellvorhaben an einer wissenschaftlichen Evaluation nach § 10b Absatz 3 Satz 1 des Betäubungsmittelgesetzes teilzunehmen. Näheres bestimmt das für Gesundheit zuständige Ministerium.</w:t>
      </w:r>
    </w:p>
    <w:p>
      <w:r>
        <w:rPr>
          <w:color w:val="555555"/>
          <w:sz w:val="17"/>
        </w:rPr>
        <w:t xml:space="preserve">Zitiervorschlag: § 12 DrugCheckVO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https://recht.nulegal.eu/gesetze/DrugCheckVO%20NRW/12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