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DrugCheckVO NRW (Nordrhein-Westfalen) — Zusammenarbeit mit den für die öffentliche Sicherheit und Ordnung zuständigen örtlichen Behörden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Betreiber der Drogenkonsumräume haben mit den für Gesundheit, öffentliche Sicherheit und Ordnung zuständigen örtlichen Behörden Formen der Zusammenarbeit zur Verhinderung von Straftaten im Zusammenhang mit der Durchführung des Drug-Checking-Modellvorhabens schriftlich oder elektronisch festzulegen.</w:t>
      </w:r>
    </w:p>
    <w:p>
      <w:r>
        <w:t xml:space="preserve">(2) Formen der Zusammenarbeit können auch in Vereinbarungen nach den §§ 6 und 7 der Verordnung über den Betrieb von Drogenkonsumräumen geregelt werden. Diese sind hinsichtlich der Durchführung von Drug-Checking-Modellvorhaben anzupassen.</w:t>
      </w:r>
    </w:p>
    <w:p>
      <w:r>
        <w:t xml:space="preserve">(3) Ergeben sich Hinweise auf schwerste Gesundheitsschäden oder Todesfälle, erfolgt eine Zusammenarbeit mit den für öffentliche Sicherheit und Ordnung zuständigen Behörden.</w:t>
      </w:r>
    </w:p>
    <w:p>
      <w:r>
        <w:rPr>
          <w:color w:val="555555"/>
          <w:sz w:val="17"/>
        </w:rPr>
        <w:t xml:space="preserve">Zitiervorschlag: § 11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