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DruckerAusbV 2011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sowie auf Grund des § 25 Absatz 1 Satz 1 der Handwerksordnung, der zuletzt durch Artikel 146 der Verordnung vom 31. Oktober 2006 (BGBl. I S. 2407)vom 23. März 2005 (BGBl. I S. 931)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