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DruckerAusbV 2011 — Aufhebung der Anerkennung von Ausbildungsberufen</w:t>
      </w:r>
    </w:p>
    <w:p>
      <w:r>
        <w:rPr>
          <w:color w:val="555555"/>
          <w:sz w:val="18"/>
        </w:rPr>
        <w:t xml:space="preserve">Drucker-Ausbildungsverordnung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Anerkennung des Ausbildungsberufes des Steindruckers und der Steindruckerin für den Bereich Handwerk wird aufgehoben.</w:t>
      </w:r>
    </w:p>
    <w:p>
      <w:r>
        <w:rPr>
          <w:color w:val="555555"/>
          <w:sz w:val="17"/>
        </w:rPr>
        <w:t xml:space="preserve">Zitiervorschlag: § 12 DruckerAusbV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https://recht.nulegal.eu/gesetze/DruckerAusbV%202011/12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