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DruckMstrV — Inkrafttreten</w:t>
      </w:r>
    </w:p>
    <w:p>
      <w:r>
        <w:rPr>
          <w:color w:val="555555"/>
          <w:sz w:val="18"/>
        </w:rPr>
        <w:t xml:space="preserve">Druckermeisterverordnung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1985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9 DruckMstrV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