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DruckMstrV — Arbeitsprobe</w:t>
      </w:r>
    </w:p>
    <w:p>
      <w:r>
        <w:rPr>
          <w:color w:val="555555"/>
          <w:sz w:val="18"/>
        </w:rPr>
        <w:t xml:space="preserve">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nachstehenden Arbeiten, davon in jedem Fall die nach den Nummern 1 und 2, auszuführen:</w:t>
      </w:r>
    </w:p>
    <w:p>
      <w:pPr>
        <w:ind w:left="420"/>
      </w:pPr>
      <w:r>
        <w:t xml:space="preserve">1. Umstellen der Druckmaschine auf verschiedene Bedruckstoffe sowie Justieren der Druckwalzen und Anlagemarken,</w:t>
      </w:r>
    </w:p>
    <w:p>
      <w:pPr>
        <w:ind w:left="420"/>
      </w:pPr>
      <w:r>
        <w:t xml:space="preserve">2. Nachmischen von mindestens drei Farbtönen,</w:t>
      </w:r>
    </w:p>
    <w:p>
      <w:pPr>
        <w:ind w:left="420"/>
      </w:pPr>
      <w:r>
        <w:t xml:space="preserve">3. Einrichten einer einfarbigen Druckform, bestehend aus Text- und Bildteilen im Mindestformat DIN A2 mit einem Bildanteil von insgesamt etwa einer DIN A4-Seite.</w:t>
      </w:r>
    </w:p>
    <w:p>
      <w:pPr>
        <w:ind w:left="420"/>
      </w:pPr>
      <w:r>
        <w:t xml:space="preserve">4. Einrichten einer mehrfarbigen Druckform, bestehend aus Text- und Bildteilen im Mindestformat DIN A3.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DruckMstrV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https://recht.nulegal.eu/gesetze/DruckMstrV/4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DruckMstrV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