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DruckLV</w:t>
      </w:r>
    </w:p>
    <w:p>
      <w:r>
        <w:rPr>
          <w:color w:val="555555"/>
          <w:sz w:val="18"/>
        </w:rPr>
        <w:t xml:space="preserve">Druckluftverordnung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1. des § 120e der Gewerbeordnung,</w:t>
      </w:r>
    </w:p>
    <w:p>
      <w:pPr>
        <w:ind w:left="420"/>
      </w:pPr>
      <w:r>
        <w:t xml:space="preserve">2. des § 9 Abs. 2 der Arbeitszeitordnung vom 30. April 1938 (Reichsgesetzbl. I S. 447), zuletzt geändert durch Artikel 150 des Einführungsgesetzes zum Gesetz über Ordnungswidrigkeiten vom 24. Mai 1968 (Bundesgesetzbl. I S. 503),</w:t>
      </w:r>
    </w:p>
    <w:p>
      <w:pPr>
        <w:ind w:left="420"/>
      </w:pPr>
      <w:r>
        <w:t xml:space="preserve">3. des § 37 Abs. 2 des Jugendarbeitsschutzgesetzes vom 9. August 1960 (Bundesgesetzbl. I S. 665), zuletzt geändert durch Artikel 75 des Ersten Gesetzes zur Reform des Strafrechts vom 25. Juni 1969 (Bundesgesetzbl. I S. 645),</w:t>
      </w:r>
    </w:p>
    <w:p>
      <w:pPr>
        <w:ind w:left="420"/>
      </w:pPr>
      <w:r>
        <w:t xml:space="preserve">4. des § 4 Abs. 4 des Mutterschutzgesetzes in der Fassung der Bekanntmachung vom 18. April 1968 (Bundesgesetzbl. I S. 315), geändert durch Artikel 127 des Einführungsgesetzes zum Gesetz über Ordnungswidrigkeiten vom 24. Mai 1968 (Bundesgesetzbl. I S. 503),</w:t>
      </w:r>
    </w:p>
    <w:p>
      <w:r>
        <w:t xml:space="preserve">in Verbindung mit Artikel 129 Abs. 1 des Grundgesetzes wird mit Zustimmung des Bundesrates verordnet:</w:t>
      </w:r>
    </w:p>
    <w:p>
      <w:r>
        <w:rPr>
          <w:color w:val="555555"/>
          <w:sz w:val="17"/>
        </w:rPr>
        <w:t xml:space="preserve">Zitiervorschlag: Eingangsformel DruckLV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https://recht.nulegal.eu/gesetze/DruckLV/eingangsformel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DruckLV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