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DruckLV — Inkrafttreten</w:t>
      </w:r>
    </w:p>
    <w:p>
      <w:r>
        <w:rPr>
          <w:color w:val="555555"/>
          <w:sz w:val="18"/>
        </w:rPr>
        <w:t xml:space="preserve">Druckluftverordnung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ersten Tage des auf die Verkündung folgenden 6. Kalendermonats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26 DruckLV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https://recht.nulegal.eu/gesetze/DruckLV/26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DruckLV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