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DrittelbG — Schutz von Aufsichtsratsmitgliedern vor Benachteiligung</w:t>
      </w:r>
    </w:p>
    <w:p>
      <w:r>
        <w:rPr>
          <w:color w:val="555555"/>
          <w:sz w:val="18"/>
        </w:rPr>
        <w:t xml:space="preserve">Drittelbeteiligungsgesetz</w:t>
      </w:r>
    </w:p>
    <w:p>
      <w:r>
        <w:rPr>
          <w:color w:val="555555"/>
          <w:sz w:val="18"/>
        </w:rPr>
        <w:t xml:space="preserve">Stand: 10.06.2019 (konsolidierte Textfassung, kein amtliches Inkrafttretensdatum)</w:t>
      </w:r>
    </w:p>
    <w:p>
      <w:r>
        <w:t xml:space="preserve">Aufsichtsratsmitglieder der Arbeitnehmer dürfen in der Ausübung ihrer Tätigkeit nicht gestört oder behindert werden. Sie dürfen wegen ihrer Tätigkeit im Aufsichtsrat nicht benachteiligt oder begünstigt werden. Dies gilt auch für ihre berufliche Entwicklung.</w:t>
      </w:r>
    </w:p>
    <w:p>
      <w:r>
        <w:rPr>
          <w:color w:val="555555"/>
          <w:sz w:val="17"/>
        </w:rPr>
        <w:t xml:space="preserve">Zitiervorschlag: § 9 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https://recht.nulegal.eu/gesetze/DrittelbG/9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