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DrittelbG — Ersatzmitglieder</w:t>
      </w:r>
    </w:p>
    <w:p>
      <w:r>
        <w:rPr>
          <w:color w:val="555555"/>
          <w:sz w:val="18"/>
        </w:rPr>
        <w:t xml:space="preserve">Drittelbeteiligungsgesetz</w:t>
      </w:r>
    </w:p>
    <w:p>
      <w:r>
        <w:rPr>
          <w:color w:val="555555"/>
          <w:sz w:val="18"/>
        </w:rPr>
        <w:t xml:space="preserve">Stand: 12.08.2021 (konsolidierte Textfassung, kein amtliches Inkrafttretensdatum)</w:t>
      </w:r>
    </w:p>
    <w:p>
      <w:r>
        <w:t xml:space="preserve">(1) In jedem Wahlvorschlag kann zusammen mit jedem Bewerber für diesen ein Ersatzmitglied des Aufsichtsrats vorgeschlagen werden. Ein Bewerber kann nicht zugleich als Ersatzmitglied vorgeschlagen werden.</w:t>
      </w:r>
    </w:p>
    <w:p>
      <w:r>
        <w:t xml:space="preserve">(2) Wird ein Bewerber als Aufsichtsratsmitglied gewählt, so ist auch das zusammen mit ihm vorgeschlagene Ersatzmitglied gewählt.</w:t>
      </w:r>
    </w:p>
    <w:p>
      <w:r>
        <w:t xml:space="preserve">(3) Im Fall des § 4 Absatz 5 in Verbindung mit § 96 Absatz 2 Satz 3 des Aktiengesetzes ist das Nachrücken eines Ersatzmitglieds ausgeschlossen, wenn dadurch der Anteil von Frauen und Männern unter den Aufsichtsratsmitgliedern der Arbeitnehmer nicht mehr den Vorgaben des § 4 Absatz 5 entspricht; § 7a Absatz 2 Satz 2 gilt entsprechend.</w:t>
      </w:r>
    </w:p>
    <w:p>
      <w:r>
        <w:rPr>
          <w:color w:val="555555"/>
          <w:sz w:val="17"/>
        </w:rPr>
        <w:t xml:space="preserve">Zitiervorschlag: § 7 DrittelbG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https://recht.nulegal.eu/gesetze/DrittelbG/7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