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DrittelbG — Arbeitnehmer, Betrieb</w:t>
      </w:r>
    </w:p>
    <w:p>
      <w:r>
        <w:rPr>
          <w:color w:val="555555"/>
          <w:sz w:val="18"/>
        </w:rPr>
        <w:t xml:space="preserve">Drittelbeteiligungsgesetz</w:t>
      </w:r>
    </w:p>
    <w:p>
      <w:r>
        <w:rPr>
          <w:color w:val="555555"/>
          <w:sz w:val="18"/>
        </w:rPr>
        <w:t xml:space="preserve">Stand: 10.06.2019 (konsolidierte Textfassung, kein amtliches Inkrafttretensdatum)</w:t>
      </w:r>
    </w:p>
    <w:p>
      <w:r>
        <w:t xml:space="preserve">(1) Arbeitnehmer im Sinne dieses Gesetzes sind die in § 5 Abs. 1 des Betriebsverfassungsgesetzes bezeichneten Personen mit Ausnahme der in § 5 Abs. 3 des Betriebsverfassungsgesetzes bezeichneten leitenden Angestellten.</w:t>
      </w:r>
    </w:p>
    <w:p>
      <w:r>
        <w:t xml:space="preserve">(2) Betriebe im Sinne dieses Gesetzes sind solche des Betriebsverfassungsgesetzes. § 4 Abs. 2 des Betriebsverfassungsgesetzes ist anzuwenden.</w:t>
      </w:r>
    </w:p>
    <w:p>
      <w:r>
        <w:t xml:space="preserve">(3) Die Gesamtheit der Schiffe eines Unternehmens gilt für die Anwendung dieses Gesetzes als ein Betrieb. Schiffe im Sinne dieses Gesetzes sind Kauffahrteischiffe, die nach dem Flaggenrechtsgesetz die Bundesflagge führen. Schiffe, die in der Regel binnen 48 Stunden nach dem Auslaufen an den Sitz eines Landbetriebs zurückkehren, gelten als Teil dieses Landbetriebs.</w:t>
      </w:r>
    </w:p>
    <w:p>
      <w:r>
        <w:rPr>
          <w:color w:val="555555"/>
          <w:sz w:val="17"/>
        </w:rPr>
        <w:t xml:space="preserve">Zitiervorschlag: § 3 DrittelbG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https://recht.nulegal.eu/gesetze/DrittelbG/3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