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DrittMVO (Sachsen)</w:t>
      </w:r>
    </w:p>
    <w:p>
      <w:r>
        <w:rPr>
          <w:color w:val="555555"/>
          <w:sz w:val="18"/>
        </w:rPr>
        <w:t xml:space="preserve">Drittmittelverordnung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12 Absatz 11 Satz 1 des Sächsischen Hochschulgesetzes vom 31. Mai 2023 (SächsGVBl. S. 329) verordnet das Staatsministerium für Wissenschaft, Kultur und Tourismus:</w:t>
      </w:r>
    </w:p>
    <w:p>
      <w:r>
        <w:rPr>
          <w:color w:val="555555"/>
          <w:sz w:val="17"/>
        </w:rPr>
        <w:t xml:space="preserve">Zitiervorschlag: Eingangsformel DrittMVO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https://recht.nulegal.eu/gesetze/DrittMVO/eingangsformel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