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DrechslAusbV</w:t>
      </w:r>
    </w:p>
    <w:p>
      <w:r>
        <w:rPr>
          <w:color w:val="555555"/>
          <w:sz w:val="18"/>
        </w:rPr>
        <w:t xml:space="preserve">Drechsler-Ausbildungsverordnung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der Handwerksordnung in der Fassung der Bekanntmachung vom 28. Dezember 1965 (BGBl. 1966 I S. 1), der zuletzt durch § 25 Nr. 1 des Gesetzes vom 24. August 1976 (BGBl. I S. 2525)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DrechslAusbV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https://recht.nulegal.eu/gesetze/DrechslAusbV/eingangsformel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