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DrechslAusbV — Aufhebung von Vorschriften</w:t>
      </w:r>
    </w:p>
    <w:p>
      <w:r>
        <w:rPr>
          <w:color w:val="555555"/>
          <w:sz w:val="18"/>
        </w:rPr>
        <w:t xml:space="preserve">Drechsler-Ausbildungsverordnung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bisher festgelegten Berufsbilder, Berufsbildungspläne und Prüfungsanforderungen für die Lehrberufe, Anlernberufe und vergleichbar geregelten Ausbildungsberufe, die in dieser Verordnung geregelt sind, insbesondere für den Ausbildungsberuf Drechsler (Elfenbeinschnitzer)/Drechslerin (Elfenbeinschnitzerin), sind vorbehaltlich des § 10 nicht mehr anzuwenden.</w:t>
      </w:r>
    </w:p>
    <w:p>
      <w:r>
        <w:rPr>
          <w:color w:val="555555"/>
          <w:sz w:val="17"/>
        </w:rPr>
        <w:t xml:space="preserve">Zitiervorschlag: § 9 DrechslAusbV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https://recht.nulegal.eu/gesetze/DrechslAusbV/9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