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DrechslAusbV — Berichtsheft</w:t>
      </w:r>
    </w:p>
    <w:p>
      <w:r>
        <w:rPr>
          <w:color w:val="555555"/>
          <w:sz w:val="18"/>
        </w:rPr>
        <w:t xml:space="preserve">Drechsler-Ausbildungsverordnung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Der Auszubildende hat ein Berichtsheft in Form eines Ausbildungsnachweises zu führen. Ihm ist Gelegenheit zu geben, das Berichtsheft während der Ausbildungszeit zu führen. Der Ausbildende hat das Berichtsheft regelmäßig durchzusehen.</w:t>
      </w:r>
    </w:p>
    <w:p>
      <w:r>
        <w:rPr>
          <w:color w:val="555555"/>
          <w:sz w:val="17"/>
        </w:rPr>
        <w:t xml:space="preserve">Zitiervorschlag: § 6 DrechslAusbV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https://recht.nulegal.eu/gesetze/DrechslAusbV/6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