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DrechslAusbV — Ausbildungsdauer, Fachrichtungen</w:t>
      </w:r>
    </w:p>
    <w:p>
      <w:r>
        <w:rPr>
          <w:color w:val="555555"/>
          <w:sz w:val="18"/>
        </w:rPr>
        <w:t xml:space="preserve">Drechsler-Ausbildungsverordnung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3 Jahre. Nach dem dritten Ausbildungshalbjahr kann für die Dauer eines Jahres zwischen den Fachrichtungen</w:t>
      </w:r>
    </w:p>
    <w:p>
      <w:pPr>
        <w:ind w:left="420"/>
      </w:pPr>
      <w:r>
        <w:t xml:space="preserve">1. Drechseln</w:t>
      </w:r>
    </w:p>
    <w:p>
      <w:pPr>
        <w:ind w:left="420"/>
      </w:pPr>
      <w:r>
        <w:t xml:space="preserve">2. Elfenbeinschnitzen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2 DrechslAusbV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https://recht.nulegal.eu/gesetze/DrechslAusbV/2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