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DrechslAusbV — Inkrafttreten</w:t>
      </w:r>
    </w:p>
    <w:p>
      <w:r>
        <w:rPr>
          <w:color w:val="555555"/>
          <w:sz w:val="18"/>
        </w:rPr>
        <w:t xml:space="preserve">Drechsler-Ausbildungsverordnung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August 1988 in Kraft.</w:t>
      </w:r>
    </w:p>
    <w:p>
      <w:r>
        <w:rPr>
          <w:color w:val="555555"/>
          <w:sz w:val="17"/>
        </w:rPr>
        <w:t xml:space="preserve">Zitiervorschlag: § 12 DrechslAusbV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https://recht.nulegal.eu/gesetze/DrechslAusbV/12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