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DrechslAusbV — Übergangsregelung</w:t>
      </w:r>
    </w:p>
    <w:p>
      <w:r>
        <w:rPr>
          <w:color w:val="555555"/>
          <w:sz w:val="18"/>
        </w:rPr>
        <w:t xml:space="preserve">Drechsler-Ausbildungsverordnung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Berufsausbildungsverhältnisse, die bei Inkrafttreten dieser Verordnung bestehen, sind die bisherigen Vorschriften weiter anzuwenden, es sei denn, die Vertragsparteien vereinbaren die Anwendung der Vorschriften dieser Verordnung.</w:t>
      </w:r>
    </w:p>
    <w:p>
      <w:r>
        <w:rPr>
          <w:color w:val="555555"/>
          <w:sz w:val="17"/>
        </w:rPr>
        <w:t xml:space="preserve">Zitiervorschlag: § 10 DrechslAusbV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https://recht.nulegal.eu/gesetze/DrechslAusbV/10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