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1.13 DonauSchPVAnl 1993 — Schutz der Schiffahrtszeichen</w:t>
      </w:r>
    </w:p>
    <w:p>
      <w:r>
        <w:rPr>
          <w:color w:val="555555"/>
          <w:sz w:val="18"/>
        </w:rPr>
        <w:t xml:space="preserve">Anlage A zur Donauschiffahrtspolizeiverordnung</w:t>
      </w:r>
    </w:p>
    <w:p>
      <w:r>
        <w:rPr>
          <w:color w:val="555555"/>
          <w:sz w:val="18"/>
        </w:rPr>
        <w:t xml:space="preserve">Historische Fassung: Stand 10.06.2019 bis 01.09.2024. Dies ist nicht die aktuelle Fassung.</w:t>
      </w:r>
    </w:p>
    <w:p>
      <w:pPr>
        <w:ind w:left="420"/>
      </w:pPr>
      <w:r>
        <w:t xml:space="preserve">1. Es ist verboten, Schiffahrtszeichen (zum Beispiel Tafeln, Tonnen, Schwimmer, Baken) zum Festmachen oder Verholen von Fahrzeugen oder Schwimmkörpern zu benutzen, sie zu beschädigen oder unbrauchbar zu machen.</w:t>
      </w:r>
    </w:p>
    <w:p>
      <w:pPr>
        <w:ind w:left="420"/>
      </w:pPr>
      <w:r>
        <w:t xml:space="preserve">2. Hat ein Fahrzeug oder ein Schwimmkörper ein Schiffahrtszeichen von seinem Platz verschoben oder eine sonstige zur Bezeichnung der Wasserstraße dienende Einrichtung beschädigt, muß der Schiffsführer dies unverzüglich der nächsten zuständigen Behörde melden.</w:t>
      </w:r>
    </w:p>
    <w:p>
      <w:pPr>
        <w:ind w:left="420"/>
      </w:pPr>
      <w:r>
        <w:t xml:space="preserve">3. Jeder Schiffsführer, der durch Unfälle verursachte oder sonstige Veränderungen an Schiffahrtszeichen (zum Beispiel Verlöschen eines Lichtes, veränderte Lage einer Tonne, Zerstörung eines Zeichens) feststellt, hat die Pflicht, dies der nächsten zuständigen Behörde unverzüglich zu melden.</w:t>
      </w:r>
    </w:p>
    <w:p>
      <w:r>
        <w:rPr>
          <w:color w:val="555555"/>
          <w:sz w:val="17"/>
        </w:rPr>
        <w:t xml:space="preserve">Zitiervorschlag: § 1.13 DonauSchPVAnl 1993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https://recht.nulegal.eu/gesetze/DonauSchPVAnl%201993/1.13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1.13 DonauSchPVAnl 1993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