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DokErstÜbV</w:t>
      </w:r>
    </w:p>
    <w:p>
      <w:r>
        <w:rPr>
          <w:color w:val="555555"/>
          <w:sz w:val="18"/>
        </w:rPr>
        <w:t xml:space="preserve">Dokumentenerstellungs- und -übermittlungsverordnung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Auf Grund des § 32b Absatz 5 Satz 1 der Strafprozessordnung, der durch Artikel 1 Nummer 2 des Gesetzes vom 5. Juli 2017 (BGBl. I S. 2208) eingefügt worden ist, verordnet die Bundesregierung:</w:t>
      </w:r>
    </w:p>
    <w:p>
      <w:r>
        <w:rPr>
          <w:color w:val="555555"/>
          <w:sz w:val="17"/>
        </w:rPr>
        <w:t xml:space="preserve">Zitiervorschlag: Eingangsformel DokErstÜbV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https://recht.nulegal.eu/gesetze/DokErst%C3%9CbV/eingangsformel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