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DokErstÜbV — Bekanntmachung technischer Anforderungen</w:t>
      </w:r>
    </w:p>
    <w:p>
      <w:r>
        <w:rPr>
          <w:color w:val="555555"/>
          <w:sz w:val="18"/>
        </w:rPr>
        <w:t xml:space="preserve">Dokumentenerstellungs- und -übermittlungsverordnung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(1) Die Bundesregierung macht folgende technische Anforderungen im Bundesanzeiger und auf der Internetseite www.justiz.de bekannt:</w:t>
      </w:r>
    </w:p>
    <w:p>
      <w:pPr>
        <w:ind w:left="420"/>
      </w:pPr>
      <w:r>
        <w:t xml:space="preserve">1. die Version des Dateiformates PDF;</w:t>
      </w:r>
    </w:p>
    <w:p>
      <w:pPr>
        <w:ind w:left="420"/>
      </w:pPr>
      <w:r>
        <w:t xml:space="preserve">2. die Definitions- oder Schemadateien, die bei der Übermittlung eines strukturierten maschinenlesbaren Datensatzes im Format XML genutzt werden sollen;</w:t>
      </w:r>
    </w:p>
    <w:p>
      <w:pPr>
        <w:ind w:left="420"/>
      </w:pPr>
      <w:r>
        <w:t xml:space="preserve">3. die nach § 6 zulässigen physischen Datenträger;</w:t>
      </w:r>
    </w:p>
    <w:p>
      <w:pPr>
        <w:ind w:left="420"/>
      </w:pPr>
      <w:r>
        <w:t xml:space="preserve">4. die Einzelheiten zur Anbringung der qualifizierten elektronischen Signatur an oder in elektronischen Dokumenten.</w:t>
      </w:r>
    </w:p>
    <w:p>
      <w:r>
        <w:t xml:space="preserve">(2) Die technischen Anforderungen können mit einer Mindestgültigkeitsdauer und einem Ablaufdatum versehen werden.</w:t>
      </w:r>
    </w:p>
    <w:p>
      <w:r>
        <w:rPr>
          <w:color w:val="555555"/>
          <w:sz w:val="17"/>
        </w:rPr>
        <w:t xml:space="preserve">Zitiervorschlag: § 7 DokErstÜbV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https://recht.nulegal.eu/gesetze/DokErst%C3%9CbV/7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