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DlStatG — Hilfsmerkmale</w:t>
      </w:r>
    </w:p>
    <w:p>
      <w:r>
        <w:rPr>
          <w:color w:val="555555"/>
          <w:sz w:val="18"/>
        </w:rPr>
        <w:t xml:space="preserve">Dienstleistungsstatistikgesetz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Hilfsmerkmale sind:</w:t>
      </w:r>
    </w:p>
    <w:p>
      <w:pPr>
        <w:ind w:left="420"/>
      </w:pPr>
      <w:r>
        <w:t xml:space="preserve">1. Name und Anschrift des Unternehmens oder der Einrichtung zur Ausübung einer freiberuflichen Tätigkeit und des Auskunftspflichtigen,</w:t>
      </w:r>
    </w:p>
    <w:p>
      <w:pPr>
        <w:ind w:left="420"/>
      </w:pPr>
      <w:r>
        <w:t xml:space="preserve">2. Name, Rufnummern und Adressen für elektronische Post der Personen, die für Rückfragen zur Verfügung stehen.</w:t>
      </w:r>
    </w:p>
    <w:p>
      <w:r>
        <w:rPr>
          <w:color w:val="555555"/>
          <w:sz w:val="17"/>
        </w:rPr>
        <w:t xml:space="preserve">Zitiervorschlag: § 4 DlStatG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