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25 DisUV (Brandenburg) — Bildungsgänge der beruflichen Schulen</w:t>
      </w:r>
    </w:p>
    <w:p>
      <w:r>
        <w:rPr>
          <w:color w:val="555555"/>
          <w:sz w:val="18"/>
        </w:rPr>
        <w:t xml:space="preserve">Distanzunterrichtsverordnung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Die Anzahl der Unterrichtsstunden, die als ergänzender Distanzunterricht durchgeführt werden, wird von der Schule festgelegt. Sie entscheidet auch, ob ergänzender Distanzunterricht blockweise oder als einzelne Unterrichtsstunden durchgeführt werden.</w:t>
      </w:r>
    </w:p>
    <w:p>
      <w:r>
        <w:t xml:space="preserve">(2) In den Bildungsgängen der Berufsfachschule zum Erwerb beruflicher Grundbildung und von gleichgestellten Abschlüssen der Sekundarstufe I gemäß der Berufsgrundbildungsverordnung kann die Heranführung an Formen des ergänzenden Distanzunterrichtes im Rahmen von zeitlich befristeten Projekten erfolgen.</w:t>
      </w:r>
    </w:p>
    <w:p>
      <w:r>
        <w:rPr>
          <w:color w:val="555555"/>
          <w:sz w:val="17"/>
        </w:rPr>
        <w:t xml:space="preserve">Zitiervorschlag: § 25 DisUV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https://recht.nulegal.eu/gesetze/DisUV/25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