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DisUV (Brandenburg) — Bildungs- und Erziehungsziele, Rahmenlehrplan und Stundentafel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ergänzende Distanzunterricht ist Teil des Unterrichts. Präsenzunterricht muss den ergänzenden Distanzunterricht überwiegen. Der ergänzende Distanzunterricht muss das Erreichen der schulischen Bildungs- und Erziehungsziele gewährleisten, insbesondere durch das Vertiefen, Üben und Wiederholen des Lernstoffs sowie durch die alters- und entwicklungsangemessene Erarbeitung neuer Themen und der weiteren Entwicklung von Kompetenzen der Schülerinnen und Schüler. Er ist inhaltlich und methodisch mit dem Präsenzunterricht verknüpft.</w:t>
      </w:r>
    </w:p>
    <w:p>
      <w:r>
        <w:t xml:space="preserve">(2) Die Lehrkräfte entscheiden auf der Grundlage des pädagogischen Konzeptes, der Unterrichtsziele sowie der Situation in der Lerngruppe darüber, welche Unterrichtsinhalte in Präsenz- oder im ergänzenden Distanzunterricht konkret stattfinden und welche Unterrichtsmethoden sowie Lern- und Lehrmittel verwendet werden.</w:t>
      </w:r>
    </w:p>
    <w:p>
      <w:r>
        <w:rPr>
          <w:color w:val="555555"/>
          <w:sz w:val="17"/>
        </w:rPr>
        <w:t xml:space="preserve">Zitiervorschlag: § 19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