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DisUV (Brandenburg) — Bildungsgänge der Förderschulen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Förderschulen und Förderklassen sind die für allgemeine Schulen geltenden Bestimmungen anzuwenden. Dem Präsenzunterricht ist nach Möglichkeit Vorrang einzuräumen.</w:t>
      </w:r>
    </w:p>
    <w:p>
      <w:r>
        <w:t xml:space="preserve">(2) Für die Förderschule mit dem sonderpädagogischen Förderschwerpunkt „Lernen“ gelten für die Jahrgangsstufen 1 bis 6 die für den Bildungsgang der Grundschule geltenden Bestimmungen entsprechend. Für die Jahrgangsstufen 7 bis 10 gelten die für die Bildungsgänge in der Sekundarstufe I geltenden Bestimmungen entsprechend.</w:t>
      </w:r>
    </w:p>
    <w:p>
      <w:r>
        <w:t xml:space="preserve">(3) Für die Förderschule mit dem sonderpädagogischen Förderschwerpunkt „geistige Entwicklung“ ist ein durchgängiges Angebot im Präsenzunterricht vorzuhalten.</w:t>
      </w:r>
    </w:p>
    <w:p>
      <w:r>
        <w:t xml:space="preserve">(4) Soweit auf Grund der Einschränkung oder Unterbrechung des Schulbetriebes gemäß § 1 Absatz 1 Nummer 2 die Durchführung von Förderausschussverfahren nicht in Präsenz möglich ist, können diese auch als Videokonferenz stattfinden.</w:t>
      </w:r>
    </w:p>
    <w:p>
      <w:r>
        <w:t xml:space="preserve">(5) Für Förderklassen an allgemeinen Schulen gelten die Bestimmungen der Förderschulen des jeweils entsprechenden sonderpädagogischen Förderbedarfs und Bildungsgangs.</w:t>
      </w:r>
    </w:p>
    <w:p>
      <w:r>
        <w:rPr>
          <w:color w:val="555555"/>
          <w:sz w:val="17"/>
        </w:rPr>
        <w:t xml:space="preserve">Zitiervorschlag: § 16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