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DisUV (Brandenburg) — Geltungsbereich</w:t>
      </w:r>
    </w:p>
    <w:p>
      <w:r>
        <w:rPr>
          <w:color w:val="555555"/>
          <w:sz w:val="18"/>
        </w:rPr>
        <w:t xml:space="preserve">Distanzunterrichtsverordnung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gilt, wenn</w:t>
      </w:r>
    </w:p>
    <w:p>
      <w:r>
        <w:t xml:space="preserve">eine Behörde die Schulschließung oder den Ausschluss einzelner Klassen oder Kurse auf der Grundlage des Infektionsschutzgesetzes vom 20. Juli 2000 ( BGBl. I S. 1045), das zuletzt durch Artikel 8v des Gesetzes vom 12. Dezember 2023 (BGBl. 2023 I Nr. 359 S. 58) geändert worden ist, oder landesrechtlicher Regelungen anordnet oder der Präsenzunterricht an Schulen aufgrund schwerwiegender Gründe nicht durchgeführt werden kann oder</w:t>
      </w:r>
    </w:p>
    <w:p>
      <w:r>
        <w:t xml:space="preserve">auf der Grundlage eines genehmigten pädagogischen Konzeptes Distanzunterricht als Ergänzung des Präsenzunterrichts in einzelnen Bildungsgängen, Jahrgangsstufen, Klassen oder Kursen durchgeführt wird.</w:t>
      </w:r>
    </w:p>
    <w:p>
      <w:r>
        <w:t xml:space="preserve">(2) Distanzunterricht gemäß Absatz 1 Nummer 2 muss mindestens ein Schulhalbjahr in einem Unterrichtsfach, Lernbereich oder Lernfeld (Fach) umfassen.</w:t>
      </w:r>
    </w:p>
    <w:p>
      <w:r>
        <w:t xml:space="preserve">(3) Für die zeitweilige Nutzung digitaler Unterrichtsformen im Rahmen des Präsenzunterrichts findet diese Verordnung keine Anwendung.</w:t>
      </w:r>
    </w:p>
    <w:p>
      <w:r>
        <w:rPr>
          <w:color w:val="555555"/>
          <w:sz w:val="17"/>
        </w:rPr>
        <w:t xml:space="preserve">Zitiervorschlag: § 1 DisUV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https://recht.nulegal.eu/gesetze/DisUV/1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