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DirektZahlDurchfV — Anlage von Dauergrünland in derselben Region im Fall des § 16 Absatz 3 Satz 2 Nummer 3 des Direktzahlungen-Durchführungsgesetzes</w:t>
      </w:r>
    </w:p>
    <w:p>
      <w:r>
        <w:rPr>
          <w:color w:val="555555"/>
          <w:sz w:val="18"/>
        </w:rPr>
        <w:t xml:space="preserve">Direktzahlungen-Durchführungsverordnung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Anlage von Dauergrünland in derselben Region im Fall des § 16 Absatz 3 Satz 2 Nummer 3 des Direktzahlungen-Durchführungsgesetzes ist bis zum auf die Genehmigung folgenden nach den Vorschriften über das Integrierte Verwaltungs- und Kontrollsystem jeweils maßgeblichen Schlusstermin für den Antrag auf Direktzahlung durchzuführen.</w:t>
      </w:r>
    </w:p>
    <w:p>
      <w:r>
        <w:t xml:space="preserve">(2) Soweit Dauergrünland in derselben Region bis zum Ablauf des in Absatz 1 genannten Schlusstermins nicht angelegt ist, endet die Genehmigung. Ist bereits Dauergrünland umgewandelt worden, hat der Betriebsinhaber, der darüber verfügt, diese Flächen unverzüglich rückumzuwandeln. Soweit Artikel 44 Absatz 3 Unterabsatz 5 der Delegierten Verordnung (EU) Nr. 639/2014 nicht unmittelbar anzuwenden ist, ist die Vorschrift entsprechend anzuwenden.</w:t>
      </w:r>
    </w:p>
    <w:p>
      <w:r>
        <w:rPr>
          <w:color w:val="555555"/>
          <w:sz w:val="17"/>
        </w:rPr>
        <w:t xml:space="preserve">Zitiervorschlag: § 21 DirektZahlDurchfV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https://recht.nulegal.eu/gesetze/DirektZahlDurchfV/21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