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DigiSiVO (Nordrhein-Westfalen) — Datenschutz</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eingesetzten Anwendungen müssen der Datenschutz-Grundverordnung vom 27. April 2016 (ABl. L 119 vom 4.5.2016, S. 1; L 314 vom 22.11.2016, S. 72; L 127 vom 23.5.2018, S. 2; L 74 vom 4.3.2021, S. 35) in der jeweils geltenden Fassung sowie den weiteren einschlägigen datenschutzrechtlichen Vorgaben entsprechen. Die Gemeinde oder der Gemeindeverband trägt Sorge für die Einhaltung der bei Durchführung digitaler Sitzungen zu beachtenden datenschutzrechtlichen Vorgaben. Einer Zustimmung der Gremienmitglieder sowie von Angehörigen der Verwaltung zu Bild-Ton-Übertragungen, die erforderlich sind, um die Voraussetzungen des § 47a Absatz 2 und 5 der Gemeindeordnung für das Land Nordrhein-Westfalen sicherzustellen, bedarf es nicht.</w:t>
      </w:r>
    </w:p>
    <w:p>
      <w:r>
        <w:t xml:space="preserve">(2) Die Zulässigkeit von Video- und Tonaufnahmen von digitalen Sitzungen mit dem Zweck der Veröffentlichung richtet sich nach der Maßgabe der Hauptsatzung.</w:t>
      </w:r>
    </w:p>
    <w:p>
      <w:r>
        <w:t xml:space="preserve">(3) Den Teilnehmerinnen und Teilnehmern digitaler und hybrider Sitzungen sowie der Öffentlichkeit sind die wesentlichen sie betreffenden datenschutzrechtlichen Informationen und zu beachtenden Regularien vor Beginn der Sitzung in geeigneter Form zur Kenntnis zu bringen. Sofern Zustimmungen erforderlich sind, können diese elektronisch erteilt werden.</w:t>
      </w:r>
    </w:p>
    <w:p>
      <w:r>
        <w:t xml:space="preserve">(4) Für im Rahmen von digitalen und hybriden Gremiensitzungen gespeicherten personenbezogene Daten sind Schutzanforderungen und Löschfristen festzulegen und zu überwachen.</w:t>
      </w:r>
    </w:p>
    <w:p>
      <w:r>
        <w:rPr>
          <w:color w:val="555555"/>
          <w:sz w:val="17"/>
        </w:rPr>
        <w:t xml:space="preserve">Zitiervorschlag: § 7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