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DigiSiVO (Nordrhein-Westfalen) — Hybride Sitzungen</w:t>
      </w:r>
    </w:p>
    <w:p>
      <w:r>
        <w:rPr>
          <w:color w:val="555555"/>
          <w:sz w:val="18"/>
        </w:rPr>
        <w:t xml:space="preserve">Digitalsitzungsverordnung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hybriden Sitzungen sind die Sitzungsleitung und die Öffentlichkeit sowie die nicht durch Bild-Ton-Übertragung teilnehmenden Gremienmitglieder im Sitzungssaal anwesend. Durch die geeignete Aufnahme- und Übertragungstechnik ist sicherzustellen, dass die Sitzungsleitung und Wortbeiträge der Gremienmitglieder für alle digital und vor Ort teilnehmenden Gremienmitglieder sowie für die Öffentlichkeit optisch und akustisch gleichwertig wahrnehmbar sind.</w:t>
      </w:r>
    </w:p>
    <w:p>
      <w:r>
        <w:t xml:space="preserve">(2) Bei geheimen Abstimmungen und Wahlen in hybriden Sitzungen ist für die Stimmabgabe der vor Ort anwesenden und der digital teilnehmenden Gremienmitglieder dasselbe Abstimmungssystem zu verwenden.</w:t>
      </w:r>
    </w:p>
    <w:p>
      <w:r>
        <w:rPr>
          <w:color w:val="555555"/>
          <w:sz w:val="17"/>
        </w:rPr>
        <w:t xml:space="preserve">Zitiervorschlag: § 5 DigiSiVO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https://recht.nulegal.eu/gesetze/DigiSiVO/5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