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DigiSiVO (Nordrhein-Westfalen) — Öffentlichkeit in digitalen Sitzungen</w:t>
      </w:r>
    </w:p>
    <w:p>
      <w:r>
        <w:rPr>
          <w:color w:val="555555"/>
          <w:sz w:val="18"/>
        </w:rPr>
        <w:t xml:space="preserve">Digitalsitzungsverordnung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Öffentlichkeit erhält die Information über den Zugang zu digitalen Sitzungen in der durch Geschäftsordnung festzulegenden Form. Die Teilnahme erfolgt über einen geschützten Zugang, bei dem die Zugangsmöglichkeit nach vorheriger Anmeldung innerhalb einer in der Geschäftsordnung festzulegenden angemessenen Frist regelmäßig in Form eines Zugangslinks elektronisch mitgeteilt und eröffnet wird. Vor Eröffnung der digitalen Zugangsmöglichkeit ist darauf hinzuweisen, dass die Aufzeichnung und Weiterverbreitung der Sitzung oder Teilen davon untersagt ist. Personen, die nicht über einen eigenen Internetzugang verfügen, soll auf rechtzeitige Anfrage ein Angebot bereitgestellt werden, das diesen ein Verfolgen der Sitzung in geeigneten Räumlichkeiten ermöglicht.</w:t>
      </w:r>
    </w:p>
    <w:p>
      <w:r>
        <w:t xml:space="preserve">(2) Die Durchführung von Einwohnerfragestunden in digitalen Sitzungen ist möglich, sofern der Öffentlichkeit ein geschützter Zugang mit Rederecht eingeräumt ist. Alternativ kann die Gelegenheit eingeräumt werden, Fragen zur Einwohnerfragestunde auf elektronischem Wege innerhalb einer zu bestimmenden Frist vor oder während der Fragestunde einzureichen. Das Nähere regelt die Geschäftsordnung.</w:t>
      </w:r>
    </w:p>
    <w:p>
      <w:r>
        <w:t xml:space="preserve">(3) Die Beratung von Gegenständen unter Ausschluss der Öffentlichkeit ist in digitaler Sitzung zulässig. Die eingesetzte Videokonferenzsoftware muss einen Ausschluss der Öffentlichkeit zuverlässig ermöglichen. Ist die Öffentlichkeit von der Beratung ausgeschlossen, haben die digital teilnehmenden Gremienmitglieder in ihrem Verantwortungsbereich den erforderlichen Datenschutz sicherzustellen und am Ort ihrer Sitzungsteilnahme zu verhindern, dass Dritte die Inhalte der nichtöffentlichen Beratung ganz oder teilweise wahrnehmen können. Diese Pflicht ist Bestandteil der Verschwiegenheitspflicht nach § 30 Absatz 1 der Gemeindeordnung für das Land Nordrhein-Westfalen. Vor Beginn eines nichtöffentlichen Sitzungsteils hat die Sitzungsleitung die Gremienmitglieder auf ihre Pflichten hinzuweisen und ihnen Gelegenheit zu geben, die erforderlichen Voraussetzungen herzustellen.</w:t>
      </w:r>
    </w:p>
    <w:p>
      <w:r>
        <w:rPr>
          <w:color w:val="555555"/>
          <w:sz w:val="17"/>
        </w:rPr>
        <w:t xml:space="preserve">Zitiervorschlag: § 3 DigiSiVO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https://recht.nulegal.eu/gesetze/DigiSiVO/3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