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DigiSiVO (Nordrhein-Westfalen) — Durchführung digitaler und hybrider Sitzungen</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Digitale und hybride Sitzungen sind mit Unterstützung einer zugelassenen Anwendung zur Bild-Ton-Übertragung (Videokonferenzsystem) sowie einer zugelassenen Anwendung zur Durchführung digitaler Abstimmungen (Abstimmungssystem) durchzuführen. Videokonferenzsystem und Abstimmungssystem sollen aufeinander abgestimmt oder, soweit möglich, in einer Anwendung integriert sein.</w:t>
      </w:r>
    </w:p>
    <w:p>
      <w:r>
        <w:t xml:space="preserve">(2) Die eingesetzten Anwendungen nach Absatz 1 müssen die Funktionalitäten bereitstellen, die zur Einhaltung der verbindlichen Verfahren und Vorgaben für die jeweilige Gremiensitzung erforderlich sind. Sie müssen es der Sitzungsleitung technisch ermöglichen, die Ordnung in den Sitzungen herzustellen und durchzusetzen.</w:t>
      </w:r>
    </w:p>
    <w:p>
      <w:r>
        <w:t xml:space="preserve">(3) Für die Sitzungsleitung, die Gremienmitglieder und im Fall einer öffentlichen Sitzung auch für die Öffentlichkeit muss jederzeit durch Bildübertragung, namentliche Anzeige oder geeignete Darstellung nachvollziehbar sein, welche Gremienmitglieder aktuell zugeschaltet sind und an der Sitzung teilnehmen.</w:t>
      </w:r>
    </w:p>
    <w:p>
      <w:r>
        <w:t xml:space="preserve">(4) Bei Wortbeiträgen müssen die Gremienmitglieder mit Bild und Ton, im Übrigen sollen sie im Rahmen der Darstellungsmöglichkeiten mit Bild für alle anderen Gremienmitglieder, die Sitzungsleitung und im Fall einer öffentlichen Sitzung auch für die Öffentlichkeit wahrnehmbar sein. Den teilnehmenden Gremienmitgliedern muss es jederzeit während der Sitzung technisch möglich sein, die Wahrnehmbarkeit mit Bild und Ton herzustellen.</w:t>
      </w:r>
    </w:p>
    <w:p>
      <w:r>
        <w:t xml:space="preserve">(5) Die Übermittlung der Zugangsdaten, die den Gremienmitgliedern und den übrigen Teilnahmeberechtigten im gebotenen Umfang den Zugang zum Videokonferenzsystem und zum Abstimmungssystem ermöglichen, erfolgt elektronisch. Es ist sicherzustellen, dass nur Berechtigte Kenntnis von den Zugangsdaten erhalten.</w:t>
      </w:r>
    </w:p>
    <w:p>
      <w:r>
        <w:rPr>
          <w:color w:val="555555"/>
          <w:sz w:val="17"/>
        </w:rPr>
        <w:t xml:space="preserve">Zitiervorschlag: § 2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