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DigiSiVO (Nordrhein-Westfalen) — Störungen der Bild-Ton-Übertragung</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 ist unverzüglich zu unterbrechen, wenn ein Gremienmitglied eine Störung der Bild-Ton-Übertragung, die es an einer ordnungsgemäßen Sitzungsteilnahme hindert, rügt oder wenn die Sitzungsleitung auf andere Weise Kenntnis von einer solchen Störung erhält. Die Sitzung darf vor Behebung der Störung nicht fortgesetzt werden. Das gilt nicht, wenn es sich um eine unbeachtliche Störung nach Absatz 4 handelt oder davon ausgegangen werden kann, dass die Störung in den Verantwortungsbereich des Gremienmitglieds fällt. Das ist insbesondere zu vermuten, wenn eine Behebung der Störung nicht gelingt und allen übrigen Gremienmitgliedern eine störungsfreie Bild-Ton-Übertragung möglich ist.</w:t>
      </w:r>
    </w:p>
    <w:p>
      <w:r>
        <w:t xml:space="preserve">(2) Sind Verfahrensschritte durch eine Störung beeinträchtigt gewesen, die der Fortsetzung der Sitzung entgegengestanden hätte und die nicht nach Absatz 4 unbeachtlich ist, sind diese nach der Feststellung und Behebung der Störung in der Sitzung nachzuholen.</w:t>
      </w:r>
    </w:p>
    <w:p>
      <w:r>
        <w:t xml:space="preserve">(3) Vor der Durchführung von digitalen oder hybriden Sitzungen sind Regelungen über die Meldung von Störungen zu treffen, insbesondere ist ein zweiter Meldeweg festzulegen, auf dem Störungen bei der Bild-Ton-Übertragung gemeldet werden können. Sitzungsleitung und Gremienmitglieder stellen sicher, dass die Gremienmitglieder unmittelbar vor und während der Sitzung die Möglichkeit haben, der Sitzungsleitung technische oder sonstige Störungen der Bild-Ton-Übertragung zu melden.</w:t>
      </w:r>
    </w:p>
    <w:p>
      <w:r>
        <w:t xml:space="preserve">(4) Eine Störung ist insbesondere unbeachtlich, wenn</w:t>
      </w:r>
    </w:p>
    <w:p>
      <w:r>
        <w:t xml:space="preserve">1. nach einem Abbruch der Bild-Ton-Übertragung eine Meldung der Störung innerhalb einer angemessenen Zeit unterbleibt, die in der Geschäftsordnung festgelegt werden kann oder</w:t>
      </w:r>
    </w:p>
    <w:p>
      <w:r>
        <w:t xml:space="preserve">2. das betroffene Gremienmitglied nach Wiederherstellung der Übertragung ohne Rüge an Beratungen und Abstimmungen mitwirkt.</w:t>
      </w:r>
    </w:p>
    <w:p>
      <w:r>
        <w:rPr>
          <w:color w:val="555555"/>
          <w:sz w:val="17"/>
        </w:rPr>
        <w:t xml:space="preserve">Zitiervorschlag: § 10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