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DigiManKflAusbV — Inhalt von Teil 1</w:t>
      </w:r>
    </w:p>
    <w:p>
      <w:r>
        <w:rPr>
          <w:color w:val="555555"/>
          <w:sz w:val="18"/>
        </w:rPr>
        <w:t xml:space="preserve">Digitalisierungsmanagement-Kaufleute-Ausbildungsverordnung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Teil 1 der Abschlussprüfung erstreckt sich auf</w:t>
      </w:r>
    </w:p>
    <w:p>
      <w:pPr>
        <w:ind w:left="420"/>
      </w:pPr>
      <w:r>
        <w:t xml:space="preserve">1. die im Ausbildungsrahmenplan für die ersten 18 Monate genannten Fertigkeiten, Kenntnisse und Fähigkeiten der Berufsbildpositionen nach § 4 Absatz 2 Nummer 1 bis 7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7 DigiManKflAusbV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https://recht.nulegal.eu/gesetze/DigiManKflAusbV/7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