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DigiManKflAusbV — Inkrafttreten</w:t>
      </w:r>
    </w:p>
    <w:p>
      <w:r>
        <w:rPr>
          <w:color w:val="555555"/>
          <w:sz w:val="18"/>
        </w:rPr>
        <w:t xml:space="preserve">Digitalisierungsmanagement-Kaufleute-Ausbildungsverordnung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Diese Verordnung tritt am 1. August 2020 in Kraft.</w:t>
      </w:r>
    </w:p>
    <w:p>
      <w:r>
        <w:rPr>
          <w:color w:val="555555"/>
          <w:sz w:val="17"/>
        </w:rPr>
        <w:t xml:space="preserve">Zitiervorschlag: § 18 DigiManKflAusbV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https://recht.nulegal.eu/gesetze/DigiManKflAusbV/18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