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DigiManKflAusbV — Bestehende Berufsausbildungsverhältnisse</w:t>
      </w:r>
    </w:p>
    <w:p>
      <w:r>
        <w:rPr>
          <w:color w:val="555555"/>
          <w:sz w:val="18"/>
        </w:rPr>
        <w:t xml:space="preserve">Digitalisierungsmanagement-Kaufleute-Ausbildungsverordnung</w:t>
      </w:r>
    </w:p>
    <w:p>
      <w:r>
        <w:rPr>
          <w:color w:val="555555"/>
          <w:sz w:val="18"/>
        </w:rPr>
        <w:t xml:space="preserve">Stand: 01.08.2020 (konsolidierte Textfassung, kein amtliches Inkrafttretensdatum)</w:t>
      </w:r>
    </w:p>
    <w:p>
      <w:r>
        <w:t xml:space="preserve">Berufsausbildungsverhältnisse zum Informatikkaufmann/zur Informatikkauffrau sowie zum Informations- und Telekommunikationssystem-Kaufmann/zur Informations- und Telekommunikationssystem-Kauffrau,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DigiManKflAusbV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https://recht.nulegal.eu/gesetze/DigiManKflAusbV/17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