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DigiManKflAusbV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Einrichten eines IT-gestützten Arbeitsplatzes    mit 20 Prozent,</w:t>
      </w:r>
    </w:p>
    <w:p>
      <w:r>
        <w:rPr>
          <w:rFonts w:ascii="Courier New" w:hAnsi="Courier New"/>
          <w:sz w:val="17"/>
        </w:rPr>
        <w:t xml:space="preserve">Digitale Entwicklung von Prozessen    mit 50 Prozent,</w:t>
      </w:r>
    </w:p>
    <w:p>
      <w:r>
        <w:rPr>
          <w:rFonts w:ascii="Courier New" w:hAnsi="Courier New"/>
          <w:sz w:val="17"/>
        </w:rPr>
        <w:t xml:space="preserve">Entwicklung eines digitalen Geschäftsmodells    mit 10 Prozent,</w:t>
      </w:r>
    </w:p>
    <w:p>
      <w:r>
        <w:rPr>
          <w:rFonts w:ascii="Courier New" w:hAnsi="Courier New"/>
          <w:sz w:val="17"/>
        </w:rPr>
        <w:t xml:space="preserve">Kaufmännische Unterstützungsprozesse    mit 10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15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