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DigiManKflAusbV — Prüfungsbereich Entwicklung eines digitalen Geschäftsmodells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Entwicklung eines digitalen Geschäftsmodells hat der Prüfling nachzuweisen, dass er in der Lage ist,</w:t>
      </w:r>
    </w:p>
    <w:p>
      <w:pPr>
        <w:ind w:left="420"/>
      </w:pPr>
      <w:r>
        <w:t xml:space="preserve">1. Arbeits- und Geschäftsprozesse im Hinblick auf Digitalisierungsgrad, Optimierungsmöglichkeiten, Kosten und Wertschöpfung zu analysieren,</w:t>
      </w:r>
    </w:p>
    <w:p>
      <w:pPr>
        <w:ind w:left="420"/>
      </w:pPr>
      <w:r>
        <w:t xml:space="preserve">2. den Kundennutzen zu kalkulieren,</w:t>
      </w:r>
    </w:p>
    <w:p>
      <w:pPr>
        <w:ind w:left="420"/>
      </w:pPr>
      <w:r>
        <w:t xml:space="preserve">3. digitale Geschäftsmodelle zu unterscheiden,</w:t>
      </w:r>
    </w:p>
    <w:p>
      <w:pPr>
        <w:ind w:left="420"/>
      </w:pPr>
      <w:r>
        <w:t xml:space="preserve">4. Vertragsarten und Lizenzmodelle zu unterscheiden und bedarfsgerecht auszuwählen,</w:t>
      </w:r>
    </w:p>
    <w:p>
      <w:pPr>
        <w:ind w:left="420"/>
      </w:pPr>
      <w:r>
        <w:t xml:space="preserve">5. die Bestimmungen zum Datenschutz anzuwenden und</w:t>
      </w:r>
    </w:p>
    <w:p>
      <w:pPr>
        <w:ind w:left="420"/>
      </w:pPr>
      <w:r>
        <w:t xml:space="preserve">6. die Bestimmungen zur IT-Sicherheit anzuwenden.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12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