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DienstVVO-SMS (Sachsen)</w:t>
      </w:r>
    </w:p>
    <w:p>
      <w:r>
        <w:rPr>
          <w:color w:val="555555"/>
          <w:sz w:val="18"/>
        </w:rPr>
        <w:t xml:space="preserve">Verordnung des Sächsischen Staatsministeriums für Soziales, Gesundheit und Familie zur Bestimmung des Dienstvorgesetzten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Höherer und nächsthöherer Dienstvorgesetzter sind die Leiter der Behörden, die die Dienstaufsicht über den Dienstvorgesetzten führen.</w:t>
      </w:r>
    </w:p>
    <w:p>
      <w:r>
        <w:rPr>
          <w:color w:val="555555"/>
          <w:sz w:val="17"/>
        </w:rPr>
        <w:t xml:space="preserve">Zitiervorschlag: § 2 DienstVVO-SMS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https://recht.nulegal.eu/gesetze/DienstVVO-SMS/2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