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DienstVVO-SMS (Sachsen)</w:t>
      </w:r>
    </w:p>
    <w:p>
      <w:r>
        <w:rPr>
          <w:color w:val="555555"/>
          <w:sz w:val="18"/>
        </w:rPr>
        <w:t xml:space="preserve">Verordnung des Sächsischen Staatsministeriums für Soziales, Gesundheit und Familie zur Bestimmung des Dienstvorgesetzten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Dienstvorgesetzter ist der Leiter der Stelle oder Behörde, der der Beamte angehört.</w:t>
      </w:r>
    </w:p>
    <w:p>
      <w:r>
        <w:t xml:space="preserve">(2) Dienstvorgesetzter des Leiters einer Stelle oder Behörde ist der Leiter der nächsthöheren Behörde.</w:t>
      </w:r>
    </w:p>
    <w:p>
      <w:r>
        <w:t xml:space="preserve">(3) Für folgende Maßnahmen ist Dienstvorgesetzter der Leiter der Behörde, die für die Ernennung zuständig ist:</w:t>
      </w:r>
    </w:p>
    <w:p>
      <w:r>
        <w:t xml:space="preserve">das Verbot der Weiterführung der Dienstgeschäfte nach § 17 SächsBG ,</w:t>
      </w:r>
    </w:p>
    <w:p>
      <w:r>
        <w:t xml:space="preserve">die Mitteilung nach § 54 Abs. 1 SächsBG , daß die Versetzung in den Ruhestand beabsichtigt ist,</w:t>
      </w:r>
    </w:p>
    <w:p>
      <w:r>
        <w:t xml:space="preserve">die Feststellung des Verlustes der Bezüge sowie sonstiger Leistungen des Dienstherrn nach § 98 SächsBG ,</w:t>
      </w:r>
    </w:p>
    <w:p>
      <w:r>
        <w:t xml:space="preserve">die Erstellung eines Dienstzeugnisses nach § 116 SächsBG .</w:t>
      </w:r>
    </w:p>
    <w:p>
      <w:r>
        <w:rPr>
          <w:color w:val="555555"/>
          <w:sz w:val="17"/>
        </w:rPr>
        <w:t xml:space="preserve">Zitiervorschlag: § 1 DienstVVO-SMS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https://recht.nulegal.eu/gesetze/DienstVVO-SMS/1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