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DienstVVO-SMI (Sachsen)</w:t>
      </w:r>
    </w:p>
    <w:p>
      <w:r>
        <w:rPr>
          <w:color w:val="555555"/>
          <w:sz w:val="18"/>
        </w:rPr>
        <w:t xml:space="preserve">Verordnung des Sächsischen Staatsministeriums des Innern zur Bestimmung des Dienstvorgesetzten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Befugnis des Dienstvorgesetzten, Beamte seiner Behörde mit der Wahrnehmung von Aufgaben des Dienstvorgesetzten zu beauftragen, bleibt unberührt.</w:t>
      </w:r>
    </w:p>
    <w:p>
      <w:r>
        <w:rPr>
          <w:color w:val="555555"/>
          <w:sz w:val="17"/>
        </w:rPr>
        <w:t xml:space="preserve">Zitiervorschlag: § 2 DienstVVO-SMI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https://recht.nulegal.eu/gesetze/DienstVVO-SMI/2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