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DienstVVO-SMF (Sachsen)</w:t>
      </w:r>
    </w:p>
    <w:p>
      <w:r>
        <w:rPr>
          <w:color w:val="555555"/>
          <w:sz w:val="18"/>
        </w:rPr>
        <w:t xml:space="preserve">Verordnung des Sächsischen Staatsministeriums der Finanzen zur Bestimmung des Dienstvorgesetzten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September 2014</w:t>
      </w:r>
    </w:p>
    <w:p>
      <w:r>
        <w:t xml:space="preserve">Für folgende Maßnahmen bei Beamten bis zur Besoldungsgruppe A 15 ist Dienstvorgesetzter der Leiter der Behörde, die für die Ernennung zuständig ist:</w:t>
      </w:r>
    </w:p>
    <w:p>
      <w:r>
        <w:t xml:space="preserve">1. das Verbot der Weiterführung der Dienstgeschäfte nach § 39 des Gesetzes zur Regelung des Statusrechts der Beamtinnen und Beamten in den Ländern ( Beamtenstatusgesetz – BeamtStG ) vom 17. Juni 2008 (BGBl. I S. 1010), das durch Artikel 15 Abs. 16 des Gesetzes vom 5. Februar 2009 (BGBl. I S. 160, 262) geändert worden ist, in der jeweils geltenden Fassung,</w:t>
      </w:r>
    </w:p>
    <w:p>
      <w:r>
        <w:t xml:space="preserve">2. die Geltendmachung von Schadenersatzansprüchen nach § 48 BeamtStG ,</w:t>
      </w:r>
    </w:p>
    <w:p>
      <w:r>
        <w:t xml:space="preserve">3. die Mitteilung nach § 52 Abs. 2 SächsBG , dass die Versetzung in den Ruhestand beabsichtigt ist,</w:t>
      </w:r>
    </w:p>
    <w:p>
      <w:r>
        <w:t xml:space="preserve">4. die Feststellung und Mitteilung des Verlustes der Besoldung sowie sonstiger Leistungen des Dienstherrn nach § 71 Abs. 3 SächsBG sowie</w:t>
      </w:r>
    </w:p>
    <w:p>
      <w:r>
        <w:t xml:space="preserve">5. die Aufgaben des Dienstvorgesetzten nach §§ 32 und 33 des Sächsischen Disziplinargesetzes ( SächsDG ) vom 10. April 2007 (SächsGVBl. S. 54), das zuletzt durch Artikel 5 des Gesetzes vom 18. Dezember 2013 (SächsGVBl. S. 970, 1077) geändert worden ist, in der jeweils geltenden Fassung.</w:t>
      </w:r>
    </w:p>
    <w:p>
      <w:r>
        <w:t xml:space="preserve">Bei Beamten der Besoldungsgruppe A 16 oder in einem Amt der Besoldungsordnung B gilt Satz 1 entsprechend; an die Stelle des Leiters der Behörde, die für die Ernennung zuständig ist, tritt der Leiter des Staatsministeriums der Finanzen.</w:t>
      </w:r>
    </w:p>
    <w:p>
      <w:r>
        <w:rPr>
          <w:color w:val="555555"/>
          <w:sz w:val="17"/>
        </w:rPr>
        <w:t xml:space="preserve">Zitiervorschlag: Eingangsformel DienstVVO-SMF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https://recht.nulegal.eu/gesetze/DienstVVO-SMF/eingangsformel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