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DienstBaySFV (Bayern) — Inkrafttreten, Außerkrafttreten</w:t>
      </w:r>
    </w:p>
    <w:p>
      <w:r>
        <w:rPr>
          <w:color w:val="555555"/>
          <w:sz w:val="18"/>
        </w:rPr>
        <w:t xml:space="preserve">Verordnung zur Regelung dienstrechtlicher Angelegenheiten der Bayerischen Staatsforsten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2008 in Kraft.</w:t>
      </w:r>
    </w:p>
    <w:p>
      <w:r>
        <w:t xml:space="preserve">(2) Mit Ablauf des 31. August 2008 tritt die Verordnung zur Regelung dienstrechtlicher Angelegenheiten der Bayerischen Staatsforsten (DienstBaySFV) vom 30. März 2007 (GVBl S. 298, BayRS 2030-3-7-2-L) außer Kraft.</w:t>
      </w:r>
    </w:p>
    <w:p>
      <w:r>
        <w:rPr>
          <w:color w:val="555555"/>
          <w:sz w:val="17"/>
        </w:rPr>
        <w:t xml:space="preserve">Zitiervorschlag: § 4 DienstBaySFV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https://recht.nulegal.eu/gesetze/DienstBaySFV/4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