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DienstBaySFV (Bayern) — Dienstwohnungen</w:t>
      </w:r>
    </w:p>
    <w:p>
      <w:r>
        <w:rPr>
          <w:color w:val="555555"/>
          <w:sz w:val="18"/>
        </w:rPr>
        <w:t xml:space="preserve">Verordnung zur Regelung dienstrechtlicher Angelegenheiten der Bayerischen Staatsforsten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Dienstwohnungen der Bayerischen Staatsforsten gilt die Verordnung über die Dienstwohnungen der Beamten (Dienstwohnungsverordnung – DWV) vom 28. November 1997 (GVBl S. 866, BayRS 2030-2-30-F) in der jeweils geltenden Fassung entsprechend.</w:t>
      </w:r>
    </w:p>
    <w:p>
      <w:r>
        <w:t xml:space="preserve">(2) Die Aufsicht über Dienstwohnungen führt der Vorstand oder die von ihm ermächtigte Stelle. Satz 1 gilt für die Festsetzung der Sachbezüge gegenüber den Dienstwohnungsinhabern entsprechend.</w:t>
      </w:r>
    </w:p>
    <w:p>
      <w:r>
        <w:rPr>
          <w:color w:val="555555"/>
          <w:sz w:val="17"/>
        </w:rPr>
        <w:t xml:space="preserve">Zitiervorschlag: § 2 DienstBaySFV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https://recht.nulegal.eu/gesetze/DienstBaySFV/2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