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DialogmServAusbV — Ausbildungsberufsbild</w:t>
      </w:r>
    </w:p>
    <w:p>
      <w:r>
        <w:rPr>
          <w:color w:val="555555"/>
          <w:sz w:val="18"/>
        </w:rPr>
        <w:t xml:space="preserve">Verordnung über die Berufsausbildung zur Servicefachkraft für Dialogmarketing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Der Ausbildungsbetrieb:</w:t>
      </w:r>
    </w:p>
    <w:p>
      <w:pPr>
        <w:ind w:left="420"/>
      </w:pPr>
      <w:r>
        <w:t xml:space="preserve">1.1 Stellung, Rechtsform und Struktur,</w:t>
      </w:r>
    </w:p>
    <w:p>
      <w:pPr>
        <w:ind w:left="420"/>
      </w:pPr>
      <w:r>
        <w:t xml:space="preserve">1.2 Berufsbildung, arbeits-, sozial- und tarifrechtliche Vorschriften,</w:t>
      </w:r>
    </w:p>
    <w:p>
      <w:pPr>
        <w:ind w:left="420"/>
      </w:pPr>
      <w:r>
        <w:t xml:space="preserve">1.3 Sicherheit und Gesundheitsschutz bei der Arbeit,</w:t>
      </w:r>
    </w:p>
    <w:p>
      <w:pPr>
        <w:ind w:left="420"/>
      </w:pPr>
      <w:r>
        <w:t xml:space="preserve">1.4 Umweltschutz;</w:t>
      </w:r>
    </w:p>
    <w:p>
      <w:pPr>
        <w:ind w:left="420"/>
      </w:pPr>
      <w:r>
        <w:t xml:space="preserve">2. Dienstleistungsangebot;</w:t>
      </w:r>
    </w:p>
    <w:p>
      <w:pPr>
        <w:ind w:left="420"/>
      </w:pPr>
      <w:r>
        <w:t xml:space="preserve">3. Arbeitsorganisation, Kooperation, Teamarbeit;</w:t>
      </w:r>
    </w:p>
    <w:p>
      <w:pPr>
        <w:ind w:left="420"/>
      </w:pPr>
      <w:r>
        <w:t xml:space="preserve">4. Betriebliche Prozessorganisation, qualitätssichernde Maßnahmen;</w:t>
      </w:r>
    </w:p>
    <w:p>
      <w:pPr>
        <w:ind w:left="420"/>
      </w:pPr>
      <w:r>
        <w:t xml:space="preserve">5. Dialogprozesse:</w:t>
      </w:r>
    </w:p>
    <w:p>
      <w:pPr>
        <w:ind w:left="420"/>
      </w:pPr>
      <w:r>
        <w:t xml:space="preserve">5.1 Sprachliche und schriftliche Kommunikation,</w:t>
      </w:r>
    </w:p>
    <w:p>
      <w:pPr>
        <w:ind w:left="420"/>
      </w:pPr>
      <w:r>
        <w:t xml:space="preserve">5.2 Kundenbetreuung,</w:t>
      </w:r>
    </w:p>
    <w:p>
      <w:pPr>
        <w:ind w:left="420"/>
      </w:pPr>
      <w:r>
        <w:t xml:space="preserve">5.3 Kundenbindung,</w:t>
      </w:r>
    </w:p>
    <w:p>
      <w:pPr>
        <w:ind w:left="420"/>
      </w:pPr>
      <w:r>
        <w:t xml:space="preserve">5.4 Kundengewinnung;</w:t>
      </w:r>
    </w:p>
    <w:p>
      <w:pPr>
        <w:ind w:left="420"/>
      </w:pPr>
      <w:r>
        <w:t xml:space="preserve">6. Informations- und Kommunikationssysteme:</w:t>
      </w:r>
    </w:p>
    <w:p>
      <w:pPr>
        <w:ind w:left="420"/>
      </w:pPr>
      <w:r>
        <w:t xml:space="preserve">6.1 Software, Netze und Dienste,</w:t>
      </w:r>
    </w:p>
    <w:p>
      <w:pPr>
        <w:ind w:left="420"/>
      </w:pPr>
      <w:r>
        <w:t xml:space="preserve">6.2 Datenbanken, Datenschutz und Datensicherheit;</w:t>
      </w:r>
    </w:p>
    <w:p>
      <w:pPr>
        <w:ind w:left="420"/>
      </w:pPr>
      <w:r>
        <w:t xml:space="preserve">7. Projekte:</w:t>
      </w:r>
    </w:p>
    <w:p>
      <w:pPr>
        <w:ind w:left="420"/>
      </w:pPr>
      <w:r>
        <w:t xml:space="preserve">7.1 Projektvorbereitung,</w:t>
      </w:r>
    </w:p>
    <w:p>
      <w:pPr>
        <w:ind w:left="420"/>
      </w:pPr>
      <w:r>
        <w:t xml:space="preserve">7.2 Projektdurchführung,</w:t>
      </w:r>
    </w:p>
    <w:p>
      <w:pPr>
        <w:ind w:left="420"/>
      </w:pPr>
      <w:r>
        <w:t xml:space="preserve">7.3 Projektcontrolling.</w:t>
      </w:r>
    </w:p>
    <w:p>
      <w:r>
        <w:rPr>
          <w:color w:val="555555"/>
          <w:sz w:val="17"/>
        </w:rPr>
        <w:t xml:space="preserve">Zitiervorschlag: § 4 DialogmServAusbV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https://recht.nulegal.eu/gesetze/DialogmServAusbV/4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